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38" w:rsidRPr="00530138" w:rsidRDefault="00530138" w:rsidP="00530138">
      <w:pPr>
        <w:framePr w:hSpace="181" w:wrap="around" w:vAnchor="text" w:hAnchor="margin" w:y="137"/>
        <w:spacing w:after="200" w:line="276" w:lineRule="auto"/>
        <w:suppressOverlap/>
        <w:jc w:val="center"/>
      </w:pPr>
      <w:r w:rsidRPr="00530138">
        <w:rPr>
          <w:b/>
          <w:sz w:val="20"/>
          <w:szCs w:val="20"/>
        </w:rPr>
        <w:t xml:space="preserve">КАРТОГРАФИЧЕСКОЕ ОПИСАНИЕ ГРАНИЦ АДМИНИСТРАТИВНОЙ ТЕРРИТОРИИ </w:t>
      </w:r>
      <w:r>
        <w:rPr>
          <w:b/>
          <w:sz w:val="20"/>
          <w:szCs w:val="20"/>
        </w:rPr>
        <w:t xml:space="preserve">                                                                </w:t>
      </w:r>
      <w:r w:rsidRPr="00530138">
        <w:rPr>
          <w:b/>
          <w:sz w:val="20"/>
          <w:szCs w:val="20"/>
        </w:rPr>
        <w:t xml:space="preserve"> СЕЛА СЛУДКА С ПОДЧИНЕННОЙ ЕМУ ТЕРРИТОРИЕЙ</w:t>
      </w:r>
    </w:p>
    <w:p w:rsidR="00B14D0D" w:rsidRPr="005751C2" w:rsidRDefault="00B14D0D" w:rsidP="00B14D0D">
      <w:pPr>
        <w:framePr w:hSpace="181" w:wrap="around" w:vAnchor="text" w:hAnchor="margin" w:y="137"/>
        <w:suppressAutoHyphens/>
        <w:spacing w:after="0" w:line="360" w:lineRule="auto"/>
        <w:ind w:firstLine="709"/>
        <w:suppressOverlap/>
        <w:jc w:val="both"/>
        <w:rPr>
          <w:rFonts w:ascii="Times New Roman" w:eastAsia="Times New Roman" w:hAnsi="Times New Roman" w:cs="Times New Roman"/>
          <w:color w:val="000000"/>
          <w:lang w:eastAsia="ar-SA"/>
        </w:rPr>
      </w:pPr>
      <w:r w:rsidRPr="005751C2">
        <w:rPr>
          <w:rFonts w:ascii="Times New Roman" w:eastAsia="Times New Roman" w:hAnsi="Times New Roman" w:cs="Times New Roman"/>
          <w:color w:val="000000"/>
          <w:lang w:eastAsia="ar-SA"/>
        </w:rPr>
        <w:t>Граница административной территории - села Слудка с подчиненной ему территорией начинается от северо-западной оконечности квартала 143 Слудского лесничества Сыктывдинского лесхоза. Далее проходит, преимущественно в северо-восточном направлении, по северо-западной границе муниципального района «Сыктывдинский» до юго-западной оконечности квартала 63 Зареченского лесничества Чернамского государственного лесного охотничьего хозяйства (далее Чернамского ГЛОХ). Далее на восток по южной границе кварталов 63, 64 до пересечения с осью левого притока без названия реки Вычегды, впадающего в реку Вычегду около южной оконечности острова Новоселовский. Затем по оси притока вниз по течению до пересечения с осью реки Вычегды. Далее, преимущественно на юг, по оси реки Вычегды вверх по течению до устья реки Пожег. Затем примерно 2,9 км по оси реки Пожег вверх по течению до пересечения с осью старицы. Далее, преимущественно на юг, по оси старицы до северо-западной оконечности квартала 22 Слудского лесничества Сыктывдинского лесхоза. Далее, преимущественно на восток, по северной границе кварталов 22 - 25, восточной границе квартала 25, северной границе кварталов 52 - 54 и далее, преимущественно на юго-запад, по восточной границе квартала 54, южной границе кварталов 54 - 52, восточной границе квартала 51, южной границе кварталов 51 - 49, восточной границе квартала 77, южной границе кварталов 77, 76, восточной границе кварталов 105, 130, 161, 194, южной границе квартала 194, восточной границе квартала 224, южной границе кварталов 224 - 222 и восточной границе квартала 251. Затем на восток по северной границе кварталов 14 - 25 Шиладорского лесничества Сыктывдинского лесхоза и на юг по восточной границе кварталов 25, 49. Далее, преимущественно на запад, по северной границе кварталов 49 - 39, восточной границе кварталов 64, 86, южной границе кварталов 86 - 72 до юго-западной оконечности квартала 72. Далее на север по западной границе муниципального района Сыктывдинский» до исходной точки.</w:t>
      </w:r>
    </w:p>
    <w:p w:rsidR="000F7EB0" w:rsidRPr="005751C2" w:rsidRDefault="000F7EB0" w:rsidP="00530138">
      <w:pPr>
        <w:framePr w:h="12142" w:hRule="exact" w:hSpace="181" w:wrap="around" w:vAnchor="text" w:hAnchor="margin" w:y="-568"/>
        <w:suppressAutoHyphens/>
        <w:spacing w:after="0" w:line="360" w:lineRule="auto"/>
        <w:ind w:firstLine="709"/>
        <w:suppressOverlap/>
        <w:jc w:val="both"/>
        <w:rPr>
          <w:rFonts w:ascii="Times New Roman" w:eastAsia="Times New Roman" w:hAnsi="Times New Roman" w:cs="Times New Roman"/>
          <w:color w:val="000000"/>
          <w:lang w:eastAsia="ar-SA"/>
        </w:rPr>
      </w:pPr>
    </w:p>
    <w:p w:rsidR="000F7EB0" w:rsidRPr="005751C2" w:rsidRDefault="000F7EB0" w:rsidP="00D86FA5">
      <w:pPr>
        <w:tabs>
          <w:tab w:val="right" w:pos="9355"/>
        </w:tabs>
        <w:spacing w:line="276" w:lineRule="auto"/>
        <w:ind w:firstLine="709"/>
        <w:jc w:val="both"/>
        <w:rPr>
          <w:rFonts w:ascii="Times New Roman" w:hAnsi="Times New Roman" w:cs="Times New Roman"/>
        </w:rPr>
      </w:pPr>
      <w:r w:rsidRPr="005751C2">
        <w:rPr>
          <w:rFonts w:ascii="Times New Roman" w:hAnsi="Times New Roman" w:cs="Times New Roman"/>
        </w:rPr>
        <w:t>Площадь муниципального образования составляет 55223,59 га.</w:t>
      </w:r>
      <w:r w:rsidR="00D86FA5" w:rsidRPr="005751C2">
        <w:rPr>
          <w:rFonts w:ascii="Times New Roman" w:hAnsi="Times New Roman" w:cs="Times New Roman"/>
        </w:rPr>
        <w:tab/>
      </w:r>
      <w:bookmarkStart w:id="0" w:name="_GoBack"/>
      <w:bookmarkEnd w:id="0"/>
    </w:p>
    <w:p w:rsidR="000F7EB0" w:rsidRPr="005751C2" w:rsidRDefault="000F7EB0" w:rsidP="000F7EB0">
      <w:pPr>
        <w:spacing w:line="276" w:lineRule="auto"/>
        <w:ind w:firstLine="709"/>
        <w:jc w:val="both"/>
        <w:rPr>
          <w:rFonts w:ascii="Times New Roman" w:hAnsi="Times New Roman" w:cs="Times New Roman"/>
        </w:rPr>
      </w:pPr>
      <w:r w:rsidRPr="005751C2">
        <w:rPr>
          <w:rFonts w:ascii="Times New Roman" w:hAnsi="Times New Roman" w:cs="Times New Roman"/>
        </w:rPr>
        <w:t xml:space="preserve">Населенные пункты занимают 321,90 га (6 % территории поселения).  </w:t>
      </w:r>
    </w:p>
    <w:p w:rsidR="000F7EB0" w:rsidRPr="005751C2" w:rsidRDefault="000F7EB0" w:rsidP="000F7EB0">
      <w:pPr>
        <w:spacing w:line="276" w:lineRule="auto"/>
        <w:ind w:firstLine="709"/>
        <w:jc w:val="both"/>
        <w:rPr>
          <w:rFonts w:ascii="Times New Roman" w:hAnsi="Times New Roman" w:cs="Times New Roman"/>
          <w:color w:val="000000"/>
        </w:rPr>
      </w:pPr>
      <w:r w:rsidRPr="005751C2">
        <w:rPr>
          <w:rFonts w:ascii="Times New Roman" w:hAnsi="Times New Roman" w:cs="Times New Roman"/>
        </w:rPr>
        <w:t xml:space="preserve">Территория сельскохозяйственного использования занимает 3784,17 га и  </w:t>
      </w:r>
      <w:r w:rsidRPr="005751C2">
        <w:rPr>
          <w:rFonts w:ascii="Times New Roman" w:hAnsi="Times New Roman" w:cs="Times New Roman"/>
          <w:color w:val="000000"/>
        </w:rPr>
        <w:t>подразделяется на территории, входящие в состав земель сельскохозяйственного назначения, и территории, используемые как сенокосы и пастбища, находящиеся в границах населенных пунктов. В состав земель сельскохозяйственного назначения входят: пашни, сельскохозяйственные угодья, пастбища, сенокосы, огороды.</w:t>
      </w:r>
    </w:p>
    <w:p w:rsidR="00CC7511" w:rsidRPr="005751C2" w:rsidRDefault="000F7EB0" w:rsidP="000F7EB0">
      <w:pPr>
        <w:spacing w:line="276" w:lineRule="auto"/>
        <w:ind w:firstLine="709"/>
        <w:jc w:val="both"/>
        <w:rPr>
          <w:rFonts w:ascii="Times New Roman" w:hAnsi="Times New Roman" w:cs="Times New Roman"/>
        </w:rPr>
      </w:pPr>
      <w:r w:rsidRPr="005751C2">
        <w:rPr>
          <w:rFonts w:ascii="Times New Roman" w:hAnsi="Times New Roman" w:cs="Times New Roman"/>
        </w:rPr>
        <w:t>На территории сельского поселения «Слудка» садоводческие товарищества отсутствуют.</w:t>
      </w:r>
    </w:p>
    <w:sectPr w:rsidR="00CC7511" w:rsidRPr="005751C2" w:rsidSect="0053013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CF57B3"/>
    <w:rsid w:val="000F7EB0"/>
    <w:rsid w:val="00530138"/>
    <w:rsid w:val="00543A86"/>
    <w:rsid w:val="005751C2"/>
    <w:rsid w:val="00702827"/>
    <w:rsid w:val="00901AAF"/>
    <w:rsid w:val="00B14D0D"/>
    <w:rsid w:val="00CF57B3"/>
    <w:rsid w:val="00D8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2343</Characters>
  <Application>Microsoft Office Word</Application>
  <DocSecurity>0</DocSecurity>
  <Lines>19</Lines>
  <Paragraphs>5</Paragraphs>
  <ScaleCrop>false</ScaleCrop>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spec_2</dc:creator>
  <cp:keywords/>
  <dc:description/>
  <cp:lastModifiedBy>User</cp:lastModifiedBy>
  <cp:revision>6</cp:revision>
  <dcterms:created xsi:type="dcterms:W3CDTF">2021-02-01T06:10:00Z</dcterms:created>
  <dcterms:modified xsi:type="dcterms:W3CDTF">2021-02-10T11:21:00Z</dcterms:modified>
</cp:coreProperties>
</file>