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A" w:rsidRPr="00742E5A" w:rsidRDefault="00742E5A" w:rsidP="00742E5A">
      <w:pPr>
        <w:spacing w:after="150" w:line="330" w:lineRule="atLeast"/>
        <w:jc w:val="center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color w:val="333333"/>
          <w:sz w:val="21"/>
          <w:lang w:eastAsia="ru-RU"/>
        </w:rPr>
        <w:t>Порядок поступления на муниципальную службу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В соответствии со статьей 16 Федерального закона от 02.03.2007 № 25-ФЗ «О муниципальной службе в Российской Федерации» (далее – Федеральный закон № 25- ФЗ):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3. При поступлении на муниципальную службу гражданин представляет: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3) паспорт;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5) документ об образовании;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 xml:space="preserve"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lastRenderedPageBreak/>
        <w:t>гражданин информируется в письменной форме о причинах отказа в поступлении на муниципальную службу.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42E5A" w:rsidRPr="00742E5A" w:rsidRDefault="00742E5A" w:rsidP="00742E5A">
      <w:pPr>
        <w:spacing w:after="0" w:line="330" w:lineRule="atLeast"/>
        <w:jc w:val="center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color w:val="333333"/>
          <w:sz w:val="21"/>
          <w:lang w:eastAsia="ru-RU"/>
        </w:rPr>
        <w:t>Квалификационные требования к кандидатам на должность муниципальной службы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В соответствии со статьей 4 Закона Республики Коми от 21 декабря 2007 года № 133-РЗ «О некоторых вопросах муниципальной службы в Республике Коми» (далее – Закон Республики Коми № 133-РЗ)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высшим должностям муниципальной службы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пяти лет;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главным должностям муниципальной службы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ведущим должностям муниципальной службы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старшим должностям муниципальной службы: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сельского поселения - наличие среднего профессионального образования без предъявления требований к стажу работы;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5)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младшим должностям муниципальной службы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- наличие среднего профессионального образования без предъявления требований к стажу работы.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профессиональным знаниям и навыкам: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1)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высшим должностям муниципальной службы: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знания: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2)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главным должностям муниципальной службы: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3)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ведущим должностям муниципальной службы: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навыки: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 xml:space="preserve"> 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lastRenderedPageBreak/>
        <w:t>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4)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старшим должностям муниципальной службы: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b/>
          <w:bCs/>
          <w:i/>
          <w:iCs/>
          <w:color w:val="333333"/>
          <w:sz w:val="21"/>
          <w:szCs w:val="21"/>
          <w:lang w:eastAsia="ru-RU"/>
        </w:rPr>
        <w:t>знания:</w:t>
      </w: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 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42E5A" w:rsidRPr="00742E5A" w:rsidRDefault="00742E5A" w:rsidP="00742E5A">
      <w:pPr>
        <w:spacing w:after="0"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5) </w:t>
      </w:r>
      <w:r w:rsidRPr="00742E5A">
        <w:rPr>
          <w:rFonts w:ascii="san-serif" w:eastAsia="Times New Roman" w:hAnsi="san-serif" w:cs="Helvetica"/>
          <w:b/>
          <w:bCs/>
          <w:color w:val="333333"/>
          <w:sz w:val="21"/>
          <w:szCs w:val="21"/>
          <w:lang w:eastAsia="ru-RU"/>
        </w:rPr>
        <w:t>по младшим должностям муниципальной службы:</w:t>
      </w:r>
    </w:p>
    <w:p w:rsidR="00742E5A" w:rsidRDefault="00742E5A" w:rsidP="00742E5A">
      <w:pPr>
        <w:spacing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  <w:r w:rsidRPr="00742E5A"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742E5A" w:rsidRDefault="00742E5A" w:rsidP="00742E5A">
      <w:pPr>
        <w:spacing w:line="330" w:lineRule="atLeast"/>
        <w:jc w:val="both"/>
        <w:rPr>
          <w:rFonts w:ascii="san-serif" w:eastAsia="Times New Roman" w:hAnsi="san-serif" w:cs="Helvetica"/>
          <w:color w:val="333333"/>
          <w:sz w:val="21"/>
          <w:szCs w:val="21"/>
          <w:lang w:eastAsia="ru-RU"/>
        </w:rPr>
      </w:pPr>
    </w:p>
    <w:sectPr w:rsidR="00742E5A" w:rsidSect="009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E5A"/>
    <w:rsid w:val="00742E5A"/>
    <w:rsid w:val="009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16"/>
  </w:style>
  <w:style w:type="paragraph" w:styleId="1">
    <w:name w:val="heading 1"/>
    <w:basedOn w:val="a"/>
    <w:link w:val="10"/>
    <w:uiPriority w:val="9"/>
    <w:qFormat/>
    <w:rsid w:val="0074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E5A"/>
    <w:rPr>
      <w:b/>
      <w:bCs/>
    </w:rPr>
  </w:style>
  <w:style w:type="character" w:styleId="a5">
    <w:name w:val="Hyperlink"/>
    <w:basedOn w:val="a0"/>
    <w:uiPriority w:val="99"/>
    <w:semiHidden/>
    <w:unhideWhenUsed/>
    <w:rsid w:val="00742E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557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0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41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14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20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46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239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24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90118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1778</Words>
  <Characters>10139</Characters>
  <Application>Microsoft Office Word</Application>
  <DocSecurity>0</DocSecurity>
  <Lines>84</Lines>
  <Paragraphs>23</Paragraphs>
  <ScaleCrop>false</ScaleCrop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2021-01-25T13:01:00Z</dcterms:created>
  <dcterms:modified xsi:type="dcterms:W3CDTF">2021-01-25T13:03:00Z</dcterms:modified>
</cp:coreProperties>
</file>